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3D2B"/>
        </w:rPr>
        <w:t>State quick card: Indiana, Kentucky, Rhode Island</w:t>
      </w:r>
    </w:p>
    <w:p>
      <w:r>
        <w:rPr>
          <w:i/>
        </w:rPr>
        <w:t>One page, effective 1 January 2026. Free sample from the Shuttlewright US State Privacy Starter Pack.</w:t>
      </w:r>
    </w:p>
    <w:p>
      <w:r>
        <w:rPr>
          <w:color w:val="5B6359"/>
          <w:sz w:val="18"/>
        </w:rPr>
        <w:t>Template from Shuttlewright. Not legal advice. Fill in the [BRACKETED] parts, delete what does not apply, and have a lawyer licensed in your state review anything you rely on.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2340"/>
          </w:tcPr>
          <w:p>
            <w:r/>
            <w:r>
              <w:rPr>
                <w:b/>
                <w:sz w:val="19"/>
              </w:rPr>
              <w:t>Indiana</w:t>
            </w:r>
          </w:p>
        </w:tc>
        <w:tc>
          <w:tcPr>
            <w:tcW w:type="dxa" w:w="2340"/>
          </w:tcPr>
          <w:p>
            <w:r/>
            <w:r>
              <w:rPr>
                <w:b/>
                <w:sz w:val="19"/>
              </w:rPr>
              <w:t>Kentucky</w:t>
            </w:r>
          </w:p>
        </w:tc>
        <w:tc>
          <w:tcPr>
            <w:tcW w:type="dxa" w:w="2340"/>
          </w:tcPr>
          <w:p>
            <w:r/>
            <w:r>
              <w:rPr>
                <w:b/>
                <w:sz w:val="19"/>
              </w:rPr>
              <w:t>Rhode Island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Law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IC 24-15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KRS 367.3611 to 367.3629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R.I. Gen. Laws ch. 6-48.1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Size test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100,000 IN consumers, or 25,000 and over 50% of gross revenue from selling data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100,000 KY consumers, or 25,000 and over 50% of gross revenue from selling data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35,000 customers (not counting payment-only data), or 10,000 and over 20% of gross revenue from selling data. Preceding calendar year.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Who is counted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Residents acting for personal, family or household purposes; not commercial or employment contexts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Residents acting only in an individual context; not commercial or employment contexts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Residents acting in an individual or household context; not commercial or employment contexts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Respond to requests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45 days (+45)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45 days (+45)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45 days (+45)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Free responses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1 a year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Up to 2 a year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1 per 12 months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Appeal decision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60 days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60 days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60 days, then AG complaint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Notice must say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Categories, purpose, how to exercise rights and appeal, categories shared, categories of recipients, sale/targeted-ad disclosure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Same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Controller, categories collected, third parties sold to, contact email (section 3); sale/targeted-ad disclosure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Sensitive data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Consent needed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Consent needed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Consent needed; stop within 15 days of withdrawal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Assessments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Targeted ads, sale, risky profiling, sensitive data, other high risk. Processing after 31 Dec 2025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Same list. Processing on or after 1 Jun 2026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Targeted ads, sale, risky profiling, sensitive data. Processing after 1 Jan 2026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Enforcement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AG only. 30-day cure. Up to $7,500 per violation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AG only. 30-day cure. Up to $7,500 per continued violation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AG only. No cure period in text. $100-$500 per intentional disclosure in violation</w:t>
            </w:r>
          </w:p>
        </w:tc>
      </w:tr>
      <w:tr>
        <w:tc>
          <w:tcPr>
            <w:tcW w:type="dxa" w:w="2340"/>
          </w:tcPr>
          <w:p>
            <w:r/>
            <w:r>
              <w:rPr>
                <w:sz w:val="19"/>
              </w:rPr>
              <w:t>Private suits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No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No</w:t>
            </w:r>
          </w:p>
        </w:tc>
        <w:tc>
          <w:tcPr>
            <w:tcW w:type="dxa" w:w="2340"/>
          </w:tcPr>
          <w:p>
            <w:r/>
            <w:r>
              <w:rPr>
                <w:sz w:val="19"/>
              </w:rPr>
              <w:t>No</w:t>
            </w:r>
          </w:p>
        </w:tc>
      </w:tr>
    </w:tbl>
    <w:p/>
    <w:p>
      <w:r>
        <w:rPr>
          <w:b w:val="0"/>
        </w:rPr>
        <w:t>Sources: iga.in.gov (IC 24-15); apps.legislature.ky.gov (KRS 367.3611 to 367.3629); webserver.rilegislature.gov (6-48.1). Verified against the statutes on 18 October 2026. Not legal advice. Kentucky changes KRS 367.3617 from 1 July 2027 (2026 Ky. Acts ch. 118).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